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1C90E0B4" w:rsidR="00312D97" w:rsidRDefault="00D137B9">
      <w:pPr>
        <w:rPr>
          <w:sz w:val="18"/>
          <w:szCs w:val="18"/>
        </w:rPr>
      </w:pPr>
      <w:bookmarkStart w:id="0" w:name="_Hlk69224812"/>
      <w:bookmarkEnd w:id="0"/>
      <w:r>
        <w:rPr>
          <w:sz w:val="18"/>
          <w:szCs w:val="18"/>
        </w:rPr>
        <w:t>April 13, 2021</w:t>
      </w:r>
    </w:p>
    <w:p w14:paraId="00000002" w14:textId="77777777" w:rsidR="00312D97" w:rsidRDefault="00312D97">
      <w:pPr>
        <w:rPr>
          <w:sz w:val="18"/>
          <w:szCs w:val="18"/>
        </w:rPr>
      </w:pPr>
    </w:p>
    <w:p w14:paraId="00000003" w14:textId="77777777" w:rsidR="00312D97" w:rsidRDefault="00D137B9">
      <w:pPr>
        <w:rPr>
          <w:sz w:val="18"/>
          <w:szCs w:val="18"/>
        </w:rPr>
      </w:pPr>
      <w:r>
        <w:rPr>
          <w:sz w:val="18"/>
          <w:szCs w:val="18"/>
        </w:rPr>
        <w:t>Mark D. Marini, Secretary</w:t>
      </w:r>
    </w:p>
    <w:p w14:paraId="00000004" w14:textId="77777777" w:rsidR="00312D97" w:rsidRDefault="00D137B9">
      <w:pPr>
        <w:rPr>
          <w:sz w:val="18"/>
          <w:szCs w:val="18"/>
        </w:rPr>
      </w:pPr>
      <w:r>
        <w:rPr>
          <w:sz w:val="18"/>
          <w:szCs w:val="18"/>
        </w:rPr>
        <w:t>Department of Public Utilities</w:t>
      </w:r>
    </w:p>
    <w:p w14:paraId="00000005" w14:textId="77777777" w:rsidR="00312D97" w:rsidRDefault="00D137B9">
      <w:pPr>
        <w:rPr>
          <w:sz w:val="18"/>
          <w:szCs w:val="18"/>
        </w:rPr>
      </w:pPr>
      <w:r>
        <w:rPr>
          <w:sz w:val="18"/>
          <w:szCs w:val="18"/>
        </w:rPr>
        <w:t>One South Station, 5th Floor</w:t>
      </w:r>
    </w:p>
    <w:p w14:paraId="00000006" w14:textId="77777777" w:rsidR="00312D97" w:rsidRDefault="00D137B9">
      <w:pPr>
        <w:rPr>
          <w:sz w:val="18"/>
          <w:szCs w:val="18"/>
        </w:rPr>
      </w:pPr>
      <w:r>
        <w:rPr>
          <w:sz w:val="18"/>
          <w:szCs w:val="18"/>
        </w:rPr>
        <w:t>Boston, MA 02110</w:t>
      </w:r>
    </w:p>
    <w:p w14:paraId="00000007" w14:textId="77777777" w:rsidR="00312D97" w:rsidRDefault="00312D97">
      <w:pPr>
        <w:rPr>
          <w:sz w:val="18"/>
          <w:szCs w:val="18"/>
        </w:rPr>
      </w:pPr>
    </w:p>
    <w:p w14:paraId="00000008" w14:textId="77777777" w:rsidR="00312D97" w:rsidRDefault="00D137B9">
      <w:pPr>
        <w:rPr>
          <w:color w:val="1155CC"/>
          <w:sz w:val="18"/>
          <w:szCs w:val="18"/>
          <w:highlight w:val="white"/>
        </w:rPr>
      </w:pPr>
      <w:r>
        <w:rPr>
          <w:sz w:val="18"/>
          <w:szCs w:val="18"/>
        </w:rPr>
        <w:t xml:space="preserve">Via Email: </w:t>
      </w:r>
      <w:hyperlink r:id="rId6">
        <w:r>
          <w:rPr>
            <w:color w:val="1155CC"/>
            <w:sz w:val="18"/>
            <w:szCs w:val="18"/>
            <w:u w:val="single"/>
          </w:rPr>
          <w:t>dpu.efiling@mass.gov</w:t>
        </w:r>
      </w:hyperlink>
      <w:r>
        <w:rPr>
          <w:sz w:val="18"/>
          <w:szCs w:val="18"/>
        </w:rPr>
        <w:t xml:space="preserve">; </w:t>
      </w:r>
      <w:hyperlink r:id="rId7">
        <w:r>
          <w:rPr>
            <w:color w:val="1155CC"/>
            <w:sz w:val="18"/>
            <w:szCs w:val="18"/>
            <w:u w:val="single"/>
          </w:rPr>
          <w:t>katie.zilgme@mass.gov</w:t>
        </w:r>
      </w:hyperlink>
      <w:r>
        <w:rPr>
          <w:sz w:val="18"/>
          <w:szCs w:val="18"/>
        </w:rPr>
        <w:t xml:space="preserve"> </w:t>
      </w:r>
    </w:p>
    <w:p w14:paraId="00000009" w14:textId="77777777" w:rsidR="00312D97" w:rsidRDefault="00312D97">
      <w:pPr>
        <w:rPr>
          <w:sz w:val="18"/>
          <w:szCs w:val="18"/>
        </w:rPr>
      </w:pPr>
    </w:p>
    <w:p w14:paraId="0000000A" w14:textId="77777777" w:rsidR="00312D97" w:rsidRDefault="00D137B9">
      <w:pPr>
        <w:rPr>
          <w:b/>
          <w:sz w:val="18"/>
          <w:szCs w:val="18"/>
        </w:rPr>
      </w:pPr>
      <w:r>
        <w:rPr>
          <w:b/>
          <w:sz w:val="18"/>
          <w:szCs w:val="18"/>
        </w:rPr>
        <w:t>D.P.U. 20-75 Attachment B-IRs to Stakeholders</w:t>
      </w:r>
    </w:p>
    <w:p w14:paraId="0000000B" w14:textId="77777777" w:rsidR="00312D97" w:rsidRDefault="00312D97">
      <w:pPr>
        <w:rPr>
          <w:sz w:val="18"/>
          <w:szCs w:val="18"/>
        </w:rPr>
      </w:pPr>
    </w:p>
    <w:p w14:paraId="0000000C" w14:textId="77777777" w:rsidR="00312D97" w:rsidRDefault="00D137B9">
      <w:pPr>
        <w:rPr>
          <w:sz w:val="18"/>
          <w:szCs w:val="18"/>
        </w:rPr>
      </w:pPr>
      <w:r>
        <w:rPr>
          <w:sz w:val="18"/>
          <w:szCs w:val="18"/>
        </w:rPr>
        <w:t>Dear Secretary Marini,</w:t>
      </w:r>
    </w:p>
    <w:p w14:paraId="0000000D" w14:textId="77777777" w:rsidR="00312D97" w:rsidRDefault="00312D97">
      <w:pPr>
        <w:rPr>
          <w:sz w:val="18"/>
          <w:szCs w:val="18"/>
        </w:rPr>
      </w:pPr>
    </w:p>
    <w:p w14:paraId="0000000E" w14:textId="61D87983" w:rsidR="00312D97" w:rsidRDefault="00CD16C9">
      <w:pPr>
        <w:rPr>
          <w:sz w:val="18"/>
          <w:szCs w:val="18"/>
        </w:rPr>
      </w:pPr>
      <w:r>
        <w:rPr>
          <w:sz w:val="18"/>
          <w:szCs w:val="18"/>
        </w:rPr>
        <w:t>Seal Rock Energy</w:t>
      </w:r>
      <w:r w:rsidR="00D137B9">
        <w:rPr>
          <w:sz w:val="18"/>
          <w:szCs w:val="18"/>
        </w:rPr>
        <w:t xml:space="preserve"> appreciate</w:t>
      </w:r>
      <w:r>
        <w:rPr>
          <w:sz w:val="18"/>
          <w:szCs w:val="18"/>
        </w:rPr>
        <w:t>s</w:t>
      </w:r>
      <w:r w:rsidR="00D137B9">
        <w:rPr>
          <w:sz w:val="18"/>
          <w:szCs w:val="18"/>
        </w:rPr>
        <w:t xml:space="preserve"> the collaborative process that the DPU has developed in the DPU 19-55, 20-75 and related dockets and </w:t>
      </w:r>
      <w:r w:rsidR="00D137B9">
        <w:rPr>
          <w:sz w:val="18"/>
          <w:szCs w:val="18"/>
        </w:rPr>
        <w:t xml:space="preserve">Hearing Officer Memorandum issued on March 23, 2021. The Climate law passed in Massachusetts increases the urgency of long-term capital investments to achieve net-zero emissions. </w:t>
      </w:r>
      <w:r>
        <w:rPr>
          <w:sz w:val="18"/>
          <w:szCs w:val="18"/>
        </w:rPr>
        <w:t>Seal Rock Energy</w:t>
      </w:r>
      <w:r w:rsidR="00D137B9">
        <w:rPr>
          <w:sz w:val="18"/>
          <w:szCs w:val="18"/>
        </w:rPr>
        <w:t xml:space="preserve"> support</w:t>
      </w:r>
      <w:r>
        <w:rPr>
          <w:sz w:val="18"/>
          <w:szCs w:val="18"/>
        </w:rPr>
        <w:t>s</w:t>
      </w:r>
      <w:r w:rsidR="00D137B9">
        <w:rPr>
          <w:sz w:val="18"/>
          <w:szCs w:val="18"/>
        </w:rPr>
        <w:t xml:space="preserve"> a provisional system planning program to ensure that the hundreds </w:t>
      </w:r>
      <w:r w:rsidR="00D137B9">
        <w:rPr>
          <w:sz w:val="18"/>
          <w:szCs w:val="18"/>
        </w:rPr>
        <w:t xml:space="preserve">of megawatts of clean renewable energy is not stalled from contributing to the </w:t>
      </w:r>
      <w:r>
        <w:rPr>
          <w:sz w:val="18"/>
          <w:szCs w:val="18"/>
        </w:rPr>
        <w:t>C</w:t>
      </w:r>
      <w:r w:rsidR="00D137B9">
        <w:rPr>
          <w:sz w:val="18"/>
          <w:szCs w:val="18"/>
        </w:rPr>
        <w:t>ommonwealth’s clean energy goals and provide a near-term opportunity to deploy the needed infrastructure to decarbonize and modernize the electric system.</w:t>
      </w:r>
    </w:p>
    <w:p w14:paraId="0000000F" w14:textId="77777777" w:rsidR="00312D97" w:rsidRDefault="00312D97">
      <w:pPr>
        <w:rPr>
          <w:sz w:val="18"/>
          <w:szCs w:val="18"/>
        </w:rPr>
      </w:pPr>
    </w:p>
    <w:p w14:paraId="00000010" w14:textId="50214256" w:rsidR="00312D97" w:rsidRDefault="00CD16C9">
      <w:pPr>
        <w:rPr>
          <w:sz w:val="18"/>
          <w:szCs w:val="18"/>
        </w:rPr>
      </w:pPr>
      <w:r>
        <w:rPr>
          <w:sz w:val="18"/>
          <w:szCs w:val="18"/>
        </w:rPr>
        <w:t>Seal Rock Energy</w:t>
      </w:r>
      <w:r w:rsidR="00D137B9">
        <w:rPr>
          <w:sz w:val="18"/>
          <w:szCs w:val="18"/>
        </w:rPr>
        <w:t xml:space="preserve"> submit</w:t>
      </w:r>
      <w:r>
        <w:rPr>
          <w:sz w:val="18"/>
          <w:szCs w:val="18"/>
        </w:rPr>
        <w:t>s</w:t>
      </w:r>
      <w:r w:rsidR="00D137B9">
        <w:rPr>
          <w:sz w:val="18"/>
          <w:szCs w:val="18"/>
        </w:rPr>
        <w:t xml:space="preserve"> the follow</w:t>
      </w:r>
      <w:r w:rsidR="00D137B9">
        <w:rPr>
          <w:sz w:val="18"/>
          <w:szCs w:val="18"/>
        </w:rPr>
        <w:t>ing feedback to the Department’s Information Requests:</w:t>
      </w:r>
    </w:p>
    <w:p w14:paraId="00000011" w14:textId="77777777" w:rsidR="00312D97" w:rsidRDefault="00D137B9">
      <w:pPr>
        <w:spacing w:before="240" w:after="240"/>
        <w:rPr>
          <w:b/>
          <w:sz w:val="18"/>
          <w:szCs w:val="18"/>
          <w:u w:val="single"/>
        </w:rPr>
      </w:pPr>
      <w:r>
        <w:rPr>
          <w:b/>
          <w:sz w:val="18"/>
          <w:szCs w:val="18"/>
          <w:u w:val="single"/>
        </w:rPr>
        <w:t xml:space="preserve">Stakeholder-1 </w:t>
      </w:r>
    </w:p>
    <w:p w14:paraId="00000012" w14:textId="77777777" w:rsidR="00312D97" w:rsidRDefault="00D137B9">
      <w:pPr>
        <w:spacing w:before="240" w:after="240"/>
        <w:rPr>
          <w:b/>
          <w:sz w:val="18"/>
          <w:szCs w:val="18"/>
        </w:rPr>
      </w:pPr>
      <w:r>
        <w:rPr>
          <w:b/>
          <w:sz w:val="18"/>
          <w:szCs w:val="18"/>
        </w:rPr>
        <w:t>Refer to the response to EDC-1. Do you currently have a distributed generation facility in the interconnection queue within one of the groups identified by the EDCs?</w:t>
      </w:r>
    </w:p>
    <w:p w14:paraId="00000013" w14:textId="7E196676" w:rsidR="00312D97" w:rsidRPr="00CD16C9" w:rsidRDefault="00CD16C9">
      <w:pPr>
        <w:spacing w:before="240" w:after="240"/>
        <w:rPr>
          <w:b/>
          <w:bCs/>
          <w:iCs/>
          <w:sz w:val="18"/>
          <w:szCs w:val="18"/>
        </w:rPr>
      </w:pPr>
      <w:r w:rsidRPr="00CD16C9">
        <w:rPr>
          <w:iCs/>
          <w:sz w:val="18"/>
          <w:szCs w:val="18"/>
        </w:rPr>
        <w:t xml:space="preserve">Seal Rock Energy has two (2) </w:t>
      </w:r>
      <w:r>
        <w:rPr>
          <w:iCs/>
          <w:sz w:val="18"/>
          <w:szCs w:val="18"/>
        </w:rPr>
        <w:t xml:space="preserve">projects in the </w:t>
      </w:r>
      <w:r>
        <w:rPr>
          <w:b/>
          <w:bCs/>
          <w:iCs/>
          <w:sz w:val="18"/>
          <w:szCs w:val="18"/>
        </w:rPr>
        <w:t xml:space="preserve">Cape Group Study, </w:t>
      </w:r>
      <w:r w:rsidRPr="00CD16C9">
        <w:rPr>
          <w:iCs/>
          <w:sz w:val="18"/>
          <w:szCs w:val="18"/>
        </w:rPr>
        <w:t>totaling</w:t>
      </w:r>
      <w:r>
        <w:rPr>
          <w:b/>
          <w:bCs/>
          <w:iCs/>
          <w:sz w:val="18"/>
          <w:szCs w:val="18"/>
        </w:rPr>
        <w:t xml:space="preserve"> </w:t>
      </w:r>
      <w:r w:rsidRPr="00CD16C9">
        <w:rPr>
          <w:iCs/>
          <w:sz w:val="18"/>
          <w:szCs w:val="18"/>
        </w:rPr>
        <w:t>7.99Mwac</w:t>
      </w:r>
      <w:r>
        <w:rPr>
          <w:iCs/>
          <w:sz w:val="18"/>
          <w:szCs w:val="18"/>
        </w:rPr>
        <w:t xml:space="preserve"> of generation.</w:t>
      </w:r>
    </w:p>
    <w:p w14:paraId="00000015" w14:textId="77777777" w:rsidR="00312D97" w:rsidRDefault="00D137B9">
      <w:pPr>
        <w:spacing w:before="240" w:after="240"/>
        <w:rPr>
          <w:b/>
          <w:sz w:val="18"/>
          <w:szCs w:val="18"/>
          <w:u w:val="single"/>
        </w:rPr>
      </w:pPr>
      <w:r>
        <w:rPr>
          <w:b/>
          <w:sz w:val="18"/>
          <w:szCs w:val="18"/>
          <w:u w:val="single"/>
        </w:rPr>
        <w:t xml:space="preserve">Stakeholder-2 </w:t>
      </w:r>
    </w:p>
    <w:p w14:paraId="00000016" w14:textId="77777777" w:rsidR="00312D97" w:rsidRDefault="00D137B9">
      <w:pPr>
        <w:spacing w:before="240" w:after="240"/>
        <w:rPr>
          <w:b/>
          <w:sz w:val="18"/>
          <w:szCs w:val="18"/>
        </w:rPr>
      </w:pPr>
      <w:r>
        <w:rPr>
          <w:b/>
          <w:sz w:val="18"/>
          <w:szCs w:val="18"/>
        </w:rPr>
        <w:t>Refer to the response to EDC-1. Based on the high-level planning estimates for costs and timelines provided by the EDCs, would you move forward with interconnection under the currently applied cost causation methodology?</w:t>
      </w:r>
    </w:p>
    <w:p w14:paraId="00000017" w14:textId="77777777" w:rsidR="00312D97" w:rsidRDefault="00D137B9">
      <w:pPr>
        <w:spacing w:before="240" w:after="240"/>
        <w:rPr>
          <w:sz w:val="18"/>
          <w:szCs w:val="18"/>
        </w:rPr>
      </w:pPr>
      <w:r>
        <w:rPr>
          <w:sz w:val="18"/>
          <w:szCs w:val="18"/>
        </w:rPr>
        <w:t>The data provided by the EDC’s cle</w:t>
      </w:r>
      <w:r>
        <w:rPr>
          <w:sz w:val="18"/>
          <w:szCs w:val="18"/>
        </w:rPr>
        <w:t xml:space="preserve">arly demonstrate that the current cost causation methodology will not allow these projects to interconnect and even when infrastructure costs are spread between current and future projects these costs are untenable.  </w:t>
      </w:r>
    </w:p>
    <w:p w14:paraId="00000019" w14:textId="2F7CB26E" w:rsidR="00312D97" w:rsidRDefault="00D137B9">
      <w:pPr>
        <w:spacing w:before="240" w:after="240"/>
        <w:rPr>
          <w:sz w:val="18"/>
          <w:szCs w:val="18"/>
        </w:rPr>
      </w:pPr>
      <w:r>
        <w:rPr>
          <w:sz w:val="18"/>
          <w:szCs w:val="18"/>
        </w:rPr>
        <w:t>As de</w:t>
      </w:r>
      <w:r>
        <w:rPr>
          <w:sz w:val="18"/>
          <w:szCs w:val="18"/>
        </w:rPr>
        <w:t>monstrated by these filings, financing the level of infrastructure required to enable current and future projects and allow for comprehensive system planning depends on a  new approach to cost allocation that recognizes the many beneficiaries of these syst</w:t>
      </w:r>
      <w:r>
        <w:rPr>
          <w:sz w:val="18"/>
          <w:szCs w:val="18"/>
        </w:rPr>
        <w:t>em upgrades. The level of infrastructure proposed by Eversource and National Grid will have a significant impact on the Commonwealth’s ability to electrify the grid, support increased loads and meet climate goals and these costs cannot be attributed to dis</w:t>
      </w:r>
      <w:r>
        <w:rPr>
          <w:sz w:val="18"/>
          <w:szCs w:val="18"/>
        </w:rPr>
        <w:t xml:space="preserve">tributed-connected solar projects alone. </w:t>
      </w:r>
    </w:p>
    <w:p w14:paraId="0000001A" w14:textId="5E01B1A8" w:rsidR="00312D97" w:rsidRDefault="00CD16C9">
      <w:pPr>
        <w:spacing w:before="240" w:after="240"/>
        <w:rPr>
          <w:sz w:val="18"/>
          <w:szCs w:val="18"/>
        </w:rPr>
      </w:pPr>
      <w:r>
        <w:rPr>
          <w:sz w:val="18"/>
          <w:szCs w:val="18"/>
        </w:rPr>
        <w:lastRenderedPageBreak/>
        <w:t>Seal Rock Energy</w:t>
      </w:r>
      <w:r w:rsidR="00D137B9">
        <w:rPr>
          <w:sz w:val="18"/>
          <w:szCs w:val="18"/>
        </w:rPr>
        <w:t xml:space="preserve"> support</w:t>
      </w:r>
      <w:r>
        <w:rPr>
          <w:sz w:val="18"/>
          <w:szCs w:val="18"/>
        </w:rPr>
        <w:t>s</w:t>
      </w:r>
      <w:r w:rsidR="00D137B9">
        <w:rPr>
          <w:sz w:val="18"/>
          <w:szCs w:val="18"/>
        </w:rPr>
        <w:t xml:space="preserve"> a Technical Conference or stakeholder forum for each EDC to provide </w:t>
      </w:r>
      <w:r>
        <w:rPr>
          <w:sz w:val="18"/>
          <w:szCs w:val="18"/>
        </w:rPr>
        <w:t>t</w:t>
      </w:r>
      <w:r w:rsidR="00D137B9">
        <w:rPr>
          <w:sz w:val="18"/>
          <w:szCs w:val="18"/>
        </w:rPr>
        <w:t xml:space="preserve">ransparency into system planning assumptions, alternatives considered, current capacity available, and cost saving </w:t>
      </w:r>
      <w:r>
        <w:rPr>
          <w:sz w:val="18"/>
          <w:szCs w:val="18"/>
        </w:rPr>
        <w:t>mitigations. The</w:t>
      </w:r>
      <w:r w:rsidR="00D137B9">
        <w:rPr>
          <w:sz w:val="18"/>
          <w:szCs w:val="18"/>
        </w:rPr>
        <w:t xml:space="preserve"> Indu</w:t>
      </w:r>
      <w:r w:rsidR="00D137B9">
        <w:rPr>
          <w:sz w:val="18"/>
          <w:szCs w:val="18"/>
        </w:rPr>
        <w:t>stry has expressed in prior filings with the Department that distributed solar projects  &gt; 500kW are unable to bear interconnection costs above $300/kW or $0.20/watt. It is therefore critical that a forum for stakeholder discussion and feedback be performe</w:t>
      </w:r>
      <w:r w:rsidR="00D137B9">
        <w:rPr>
          <w:sz w:val="18"/>
          <w:szCs w:val="18"/>
        </w:rPr>
        <w:t>d in parallel to the Group Studies for these projects to remain viable.</w:t>
      </w:r>
    </w:p>
    <w:p w14:paraId="0000001B" w14:textId="77777777" w:rsidR="00312D97" w:rsidRDefault="00D137B9">
      <w:pPr>
        <w:spacing w:before="240" w:after="240"/>
        <w:rPr>
          <w:b/>
          <w:sz w:val="18"/>
          <w:szCs w:val="18"/>
        </w:rPr>
      </w:pPr>
      <w:r>
        <w:rPr>
          <w:b/>
          <w:sz w:val="18"/>
          <w:szCs w:val="18"/>
          <w:u w:val="single"/>
        </w:rPr>
        <w:t>Stakeholder-3</w:t>
      </w:r>
      <w:r>
        <w:rPr>
          <w:b/>
          <w:sz w:val="18"/>
          <w:szCs w:val="18"/>
        </w:rPr>
        <w:t xml:space="preserve"> </w:t>
      </w:r>
    </w:p>
    <w:p w14:paraId="0000001C" w14:textId="77777777" w:rsidR="00312D97" w:rsidRDefault="00D137B9">
      <w:pPr>
        <w:spacing w:before="240" w:after="240"/>
        <w:rPr>
          <w:b/>
          <w:sz w:val="18"/>
          <w:szCs w:val="18"/>
        </w:rPr>
      </w:pPr>
      <w:r>
        <w:rPr>
          <w:b/>
          <w:sz w:val="18"/>
          <w:szCs w:val="18"/>
        </w:rPr>
        <w:t>Refer to the response to EDC-1. If a provisional system planning program were implemented that decreased the cost to interconnect but did not alter the timeline for EPS upgrade construction, would you move forward with Interconnection?</w:t>
      </w:r>
    </w:p>
    <w:p w14:paraId="0000001D" w14:textId="45BC39F3" w:rsidR="00312D97" w:rsidRDefault="00D137B9">
      <w:pPr>
        <w:spacing w:before="240" w:after="240"/>
        <w:rPr>
          <w:i/>
          <w:sz w:val="18"/>
          <w:szCs w:val="18"/>
          <w:highlight w:val="yellow"/>
        </w:rPr>
      </w:pPr>
      <w:r>
        <w:rPr>
          <w:sz w:val="18"/>
          <w:szCs w:val="18"/>
        </w:rPr>
        <w:t xml:space="preserve">The result of a provisional system planning program should be a clear $/kW fee structure and schedule that will enable these projects to execute an Interconnection Service </w:t>
      </w:r>
      <w:r w:rsidR="00CD16C9">
        <w:rPr>
          <w:sz w:val="18"/>
          <w:szCs w:val="18"/>
        </w:rPr>
        <w:t>Agreement. The</w:t>
      </w:r>
      <w:r>
        <w:rPr>
          <w:sz w:val="18"/>
          <w:szCs w:val="18"/>
        </w:rPr>
        <w:t xml:space="preserve"> comprehensive upgrades envisioned by Eversource and National Grid span</w:t>
      </w:r>
      <w:r>
        <w:rPr>
          <w:sz w:val="18"/>
          <w:szCs w:val="18"/>
        </w:rPr>
        <w:t xml:space="preserve"> over the next five years. Many Group Study projects have been in the queue for a number of years already and the EDCs should identify opportunities for as many projects as possible to interconnect in advance of comprehensive upgrades.</w:t>
      </w:r>
      <w:r>
        <w:rPr>
          <w:i/>
          <w:sz w:val="18"/>
          <w:szCs w:val="18"/>
          <w:highlight w:val="yellow"/>
        </w:rPr>
        <w:t xml:space="preserve"> </w:t>
      </w:r>
    </w:p>
    <w:p w14:paraId="0000001E" w14:textId="77777777" w:rsidR="00312D97" w:rsidRDefault="00D137B9">
      <w:pPr>
        <w:spacing w:before="240" w:after="240"/>
        <w:rPr>
          <w:b/>
          <w:sz w:val="18"/>
          <w:szCs w:val="18"/>
          <w:u w:val="single"/>
        </w:rPr>
      </w:pPr>
      <w:r>
        <w:rPr>
          <w:b/>
          <w:sz w:val="18"/>
          <w:szCs w:val="18"/>
          <w:u w:val="single"/>
        </w:rPr>
        <w:t xml:space="preserve">Stakeholder-4 </w:t>
      </w:r>
    </w:p>
    <w:p w14:paraId="0000001F" w14:textId="77777777" w:rsidR="00312D97" w:rsidRDefault="00D137B9">
      <w:pPr>
        <w:spacing w:before="240" w:after="240"/>
        <w:rPr>
          <w:b/>
          <w:sz w:val="18"/>
          <w:szCs w:val="18"/>
        </w:rPr>
      </w:pPr>
      <w:r>
        <w:rPr>
          <w:b/>
          <w:sz w:val="18"/>
          <w:szCs w:val="18"/>
        </w:rPr>
        <w:t>Refer to the response to EDC-4, how long following submittal of a provisional system planning program proposal by the EDCs would the Department need to make a determination on the proposal for</w:t>
      </w:r>
      <w:r>
        <w:rPr>
          <w:b/>
          <w:sz w:val="18"/>
          <w:szCs w:val="18"/>
        </w:rPr>
        <w:t xml:space="preserve"> you to move forward with interconnection?</w:t>
      </w:r>
    </w:p>
    <w:p w14:paraId="00000020" w14:textId="0D2C7737" w:rsidR="00312D97" w:rsidRDefault="00CD16C9">
      <w:pPr>
        <w:spacing w:before="240" w:after="240"/>
        <w:rPr>
          <w:sz w:val="18"/>
          <w:szCs w:val="18"/>
        </w:rPr>
      </w:pPr>
      <w:r>
        <w:rPr>
          <w:sz w:val="18"/>
          <w:szCs w:val="18"/>
        </w:rPr>
        <w:t>Seal Rock Energy</w:t>
      </w:r>
      <w:r w:rsidR="00D137B9">
        <w:rPr>
          <w:sz w:val="18"/>
          <w:szCs w:val="18"/>
        </w:rPr>
        <w:t xml:space="preserve"> encourage</w:t>
      </w:r>
      <w:r>
        <w:rPr>
          <w:sz w:val="18"/>
          <w:szCs w:val="18"/>
        </w:rPr>
        <w:t>s</w:t>
      </w:r>
      <w:r w:rsidR="00D137B9">
        <w:rPr>
          <w:sz w:val="18"/>
          <w:szCs w:val="18"/>
        </w:rPr>
        <w:t xml:space="preserve"> the Department and EDC’s to accelerate the submittal and review period of provisional system plans. The provisional system plans should be prepared in parallel with the group study and finalized simul</w:t>
      </w:r>
      <w:r w:rsidR="00D137B9">
        <w:rPr>
          <w:sz w:val="18"/>
          <w:szCs w:val="18"/>
        </w:rPr>
        <w:t xml:space="preserve">taneously with the completion of the Group Study itself. </w:t>
      </w:r>
      <w:r>
        <w:rPr>
          <w:sz w:val="18"/>
          <w:szCs w:val="18"/>
        </w:rPr>
        <w:t>Seal Rock Energy</w:t>
      </w:r>
      <w:r w:rsidR="00D137B9">
        <w:rPr>
          <w:sz w:val="18"/>
          <w:szCs w:val="18"/>
        </w:rPr>
        <w:t xml:space="preserve"> suggest</w:t>
      </w:r>
      <w:r>
        <w:rPr>
          <w:sz w:val="18"/>
          <w:szCs w:val="18"/>
        </w:rPr>
        <w:t>s</w:t>
      </w:r>
      <w:r w:rsidR="00D137B9">
        <w:rPr>
          <w:sz w:val="18"/>
          <w:szCs w:val="18"/>
        </w:rPr>
        <w:t xml:space="preserve"> that 45 days is an acceptable amount of time between the final provisional system plan submittal and the review and approval period for the Department. After the Department’s approval.</w:t>
      </w:r>
    </w:p>
    <w:p w14:paraId="00000021" w14:textId="77777777" w:rsidR="00312D97" w:rsidRDefault="00D137B9">
      <w:pPr>
        <w:spacing w:before="240" w:after="240"/>
        <w:rPr>
          <w:b/>
          <w:sz w:val="18"/>
          <w:szCs w:val="18"/>
        </w:rPr>
      </w:pPr>
      <w:r>
        <w:rPr>
          <w:b/>
          <w:sz w:val="18"/>
          <w:szCs w:val="18"/>
          <w:u w:val="single"/>
        </w:rPr>
        <w:t>Sta</w:t>
      </w:r>
      <w:r>
        <w:rPr>
          <w:b/>
          <w:sz w:val="18"/>
          <w:szCs w:val="18"/>
          <w:u w:val="single"/>
        </w:rPr>
        <w:t>keholder-5</w:t>
      </w:r>
      <w:r>
        <w:rPr>
          <w:b/>
          <w:sz w:val="18"/>
          <w:szCs w:val="18"/>
        </w:rPr>
        <w:t xml:space="preserve"> </w:t>
      </w:r>
    </w:p>
    <w:p w14:paraId="00000022" w14:textId="77777777" w:rsidR="00312D97" w:rsidRDefault="00D137B9">
      <w:pPr>
        <w:spacing w:before="240" w:after="240"/>
        <w:rPr>
          <w:b/>
          <w:sz w:val="18"/>
          <w:szCs w:val="18"/>
        </w:rPr>
      </w:pPr>
      <w:r>
        <w:rPr>
          <w:b/>
          <w:sz w:val="18"/>
          <w:szCs w:val="18"/>
        </w:rPr>
        <w:t>Are there any federal law implications that should be considered concerning sharing costs of EPS upgrades with interconnecting customers over an extended period of time and in particular after the EPS upgrade has been constructed?</w:t>
      </w:r>
    </w:p>
    <w:p w14:paraId="00000023" w14:textId="48BA8662" w:rsidR="00312D97" w:rsidRDefault="00CD16C9">
      <w:pPr>
        <w:rPr>
          <w:sz w:val="18"/>
          <w:szCs w:val="18"/>
        </w:rPr>
      </w:pPr>
      <w:r>
        <w:rPr>
          <w:sz w:val="18"/>
          <w:szCs w:val="18"/>
        </w:rPr>
        <w:t>Seal Rock Energy does</w:t>
      </w:r>
      <w:r w:rsidR="00D137B9">
        <w:rPr>
          <w:sz w:val="18"/>
          <w:szCs w:val="18"/>
        </w:rPr>
        <w:t xml:space="preserve"> not hav</w:t>
      </w:r>
      <w:r w:rsidR="00D137B9">
        <w:rPr>
          <w:sz w:val="18"/>
          <w:szCs w:val="18"/>
        </w:rPr>
        <w:t>e feedback on this question.</w:t>
      </w:r>
    </w:p>
    <w:p w14:paraId="36C237BE" w14:textId="53E13B34" w:rsidR="00CD16C9" w:rsidRDefault="00CD16C9">
      <w:pPr>
        <w:rPr>
          <w:sz w:val="18"/>
          <w:szCs w:val="18"/>
        </w:rPr>
      </w:pPr>
    </w:p>
    <w:p w14:paraId="02A9292A" w14:textId="08DC0792" w:rsidR="00CD16C9" w:rsidRDefault="00CD16C9">
      <w:pPr>
        <w:rPr>
          <w:sz w:val="18"/>
          <w:szCs w:val="18"/>
        </w:rPr>
      </w:pPr>
      <w:r>
        <w:rPr>
          <w:sz w:val="18"/>
          <w:szCs w:val="18"/>
        </w:rPr>
        <w:t>Sincerely,</w:t>
      </w:r>
    </w:p>
    <w:p w14:paraId="7C1B12EC" w14:textId="310A2BAD" w:rsidR="00CD16C9" w:rsidRDefault="00CD16C9">
      <w:pPr>
        <w:rPr>
          <w:sz w:val="18"/>
          <w:szCs w:val="18"/>
        </w:rPr>
      </w:pPr>
      <w:r>
        <w:rPr>
          <w:noProof/>
          <w:sz w:val="18"/>
          <w:szCs w:val="18"/>
        </w:rPr>
        <w:drawing>
          <wp:inline distT="0" distB="0" distL="0" distR="0" wp14:anchorId="6E3A495C" wp14:editId="4D1D537E">
            <wp:extent cx="2062003" cy="435721"/>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2062003" cy="435721"/>
                    </a:xfrm>
                    <a:prstGeom prst="rect">
                      <a:avLst/>
                    </a:prstGeom>
                  </pic:spPr>
                </pic:pic>
              </a:graphicData>
            </a:graphic>
          </wp:inline>
        </w:drawing>
      </w:r>
    </w:p>
    <w:p w14:paraId="1E47E562" w14:textId="0E3A78BA" w:rsidR="0048066D" w:rsidRDefault="0048066D">
      <w:pPr>
        <w:rPr>
          <w:sz w:val="18"/>
          <w:szCs w:val="18"/>
        </w:rPr>
      </w:pPr>
      <w:r>
        <w:rPr>
          <w:sz w:val="18"/>
          <w:szCs w:val="18"/>
        </w:rPr>
        <w:t>Silas Bauer</w:t>
      </w:r>
    </w:p>
    <w:p w14:paraId="74362413" w14:textId="02007AD2" w:rsidR="0048066D" w:rsidRDefault="0048066D">
      <w:pPr>
        <w:rPr>
          <w:sz w:val="18"/>
          <w:szCs w:val="18"/>
        </w:rPr>
      </w:pPr>
      <w:r>
        <w:rPr>
          <w:sz w:val="18"/>
          <w:szCs w:val="18"/>
        </w:rPr>
        <w:t>President, Seal Rock Energy</w:t>
      </w:r>
    </w:p>
    <w:p w14:paraId="0B86320F" w14:textId="6FAE7BE4" w:rsidR="0048066D" w:rsidRDefault="0048066D">
      <w:pPr>
        <w:rPr>
          <w:sz w:val="18"/>
          <w:szCs w:val="18"/>
        </w:rPr>
      </w:pPr>
      <w:r>
        <w:rPr>
          <w:sz w:val="18"/>
          <w:szCs w:val="18"/>
        </w:rPr>
        <w:t>(617) 230-1242, silas@sealrockenergy.com</w:t>
      </w:r>
    </w:p>
    <w:sectPr w:rsidR="0048066D">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20DFC5" w14:textId="77777777" w:rsidR="00D137B9" w:rsidRDefault="00D137B9" w:rsidP="006D61D3">
      <w:pPr>
        <w:spacing w:line="240" w:lineRule="auto"/>
      </w:pPr>
      <w:r>
        <w:separator/>
      </w:r>
    </w:p>
  </w:endnote>
  <w:endnote w:type="continuationSeparator" w:id="0">
    <w:p w14:paraId="5A49E144" w14:textId="77777777" w:rsidR="00D137B9" w:rsidRDefault="00D137B9" w:rsidP="006D61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Daytona">
    <w:charset w:val="00"/>
    <w:family w:val="swiss"/>
    <w:pitch w:val="variable"/>
    <w:sig w:usb0="800002EF" w:usb1="0000000A" w:usb2="00000000" w:usb3="00000000" w:csb0="0000019F" w:csb1="00000000"/>
  </w:font>
  <w:font w:name="Aharoni">
    <w:charset w:val="B1"/>
    <w:family w:val="auto"/>
    <w:pitch w:val="variable"/>
    <w:sig w:usb0="00000803" w:usb1="00000000" w:usb2="00000000" w:usb3="00000000" w:csb0="00000021"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A59145" w14:textId="77777777" w:rsidR="00D137B9" w:rsidRDefault="00D137B9" w:rsidP="006D61D3">
      <w:pPr>
        <w:spacing w:line="240" w:lineRule="auto"/>
      </w:pPr>
      <w:r>
        <w:separator/>
      </w:r>
    </w:p>
  </w:footnote>
  <w:footnote w:type="continuationSeparator" w:id="0">
    <w:p w14:paraId="575D0135" w14:textId="77777777" w:rsidR="00D137B9" w:rsidRDefault="00D137B9" w:rsidP="006D61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0ECB7" w14:textId="5873B631" w:rsidR="006D61D3" w:rsidRDefault="006D61D3">
    <w:pPr>
      <w:pStyle w:val="Header"/>
    </w:pPr>
    <w:r>
      <w:rPr>
        <w:noProof/>
      </w:rPr>
      <w:drawing>
        <wp:inline distT="0" distB="0" distL="0" distR="0" wp14:anchorId="18FD8FFB" wp14:editId="71E57122">
          <wp:extent cx="1065636" cy="1047750"/>
          <wp:effectExtent l="0" t="0" r="1270" b="0"/>
          <wp:docPr id="3" name="Picture 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71308" cy="1053326"/>
                  </a:xfrm>
                  <a:prstGeom prst="rect">
                    <a:avLst/>
                  </a:prstGeom>
                </pic:spPr>
              </pic:pic>
            </a:graphicData>
          </a:graphic>
        </wp:inline>
      </w:drawing>
    </w:r>
  </w:p>
  <w:p w14:paraId="6A215D59" w14:textId="77777777" w:rsidR="006D61D3" w:rsidRDefault="006D61D3">
    <w:pPr>
      <w:pStyle w:val="Header"/>
    </w:pPr>
  </w:p>
  <w:p w14:paraId="53D30704" w14:textId="77777777" w:rsidR="006D61D3" w:rsidRPr="006D61D3" w:rsidRDefault="006D61D3">
    <w:pPr>
      <w:pStyle w:val="Header"/>
      <w:rPr>
        <w:rFonts w:ascii="Daytona" w:hAnsi="Daytona" w:cs="Aharoni"/>
        <w:b/>
        <w:bCs/>
        <w:color w:val="000000"/>
        <w:sz w:val="14"/>
        <w:szCs w:val="14"/>
      </w:rPr>
    </w:pPr>
    <w:r w:rsidRPr="006D61D3">
      <w:rPr>
        <w:rFonts w:ascii="Daytona" w:hAnsi="Daytona" w:cs="Aharoni"/>
        <w:b/>
        <w:bCs/>
        <w:color w:val="000000"/>
        <w:sz w:val="14"/>
        <w:szCs w:val="14"/>
      </w:rPr>
      <w:t>93 Colbourne Crecent</w:t>
    </w:r>
  </w:p>
  <w:p w14:paraId="5401FFFD" w14:textId="7EF9E4FF" w:rsidR="006D61D3" w:rsidRPr="006D61D3" w:rsidRDefault="006D61D3">
    <w:pPr>
      <w:pStyle w:val="Header"/>
      <w:rPr>
        <w:rFonts w:ascii="Daytona" w:hAnsi="Daytona" w:cs="Aharoni"/>
        <w:b/>
        <w:bCs/>
        <w:color w:val="000000"/>
        <w:sz w:val="14"/>
        <w:szCs w:val="14"/>
      </w:rPr>
    </w:pPr>
    <w:r w:rsidRPr="006D61D3">
      <w:rPr>
        <w:rFonts w:ascii="Daytona" w:hAnsi="Daytona" w:cs="Aharoni"/>
        <w:b/>
        <w:bCs/>
        <w:color w:val="000000"/>
        <w:sz w:val="14"/>
        <w:szCs w:val="14"/>
      </w:rPr>
      <w:t>Brookline, MA 02445</w:t>
    </w:r>
  </w:p>
  <w:p w14:paraId="3FB0CEB9" w14:textId="46EAB242" w:rsidR="006D61D3" w:rsidRPr="006D61D3" w:rsidRDefault="006D61D3">
    <w:pPr>
      <w:pStyle w:val="Header"/>
      <w:rPr>
        <w:rFonts w:ascii="Daytona" w:hAnsi="Daytona" w:cs="Aharoni"/>
        <w:b/>
        <w:bCs/>
        <w:color w:val="000000"/>
        <w:sz w:val="14"/>
        <w:szCs w:val="14"/>
      </w:rPr>
    </w:pPr>
    <w:r w:rsidRPr="006D61D3">
      <w:rPr>
        <w:rFonts w:ascii="Daytona" w:hAnsi="Daytona" w:cs="Aharoni"/>
        <w:b/>
        <w:bCs/>
        <w:color w:val="000000"/>
        <w:sz w:val="14"/>
        <w:szCs w:val="14"/>
      </w:rPr>
      <w:t>www.sealrockenergy.com</w:t>
    </w:r>
  </w:p>
  <w:p w14:paraId="77AA5C43" w14:textId="77777777" w:rsidR="006D61D3" w:rsidRDefault="006D61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D97"/>
    <w:rsid w:val="00312D97"/>
    <w:rsid w:val="0048066D"/>
    <w:rsid w:val="006D61D3"/>
    <w:rsid w:val="00CD16C9"/>
    <w:rsid w:val="00D13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078A3"/>
  <w15:docId w15:val="{918EE06C-2C82-4965-9FFD-406DA1402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6D61D3"/>
    <w:pPr>
      <w:tabs>
        <w:tab w:val="center" w:pos="4680"/>
        <w:tab w:val="right" w:pos="9360"/>
      </w:tabs>
      <w:spacing w:line="240" w:lineRule="auto"/>
    </w:pPr>
  </w:style>
  <w:style w:type="character" w:customStyle="1" w:styleId="HeaderChar">
    <w:name w:val="Header Char"/>
    <w:basedOn w:val="DefaultParagraphFont"/>
    <w:link w:val="Header"/>
    <w:uiPriority w:val="99"/>
    <w:rsid w:val="006D61D3"/>
  </w:style>
  <w:style w:type="paragraph" w:styleId="Footer">
    <w:name w:val="footer"/>
    <w:basedOn w:val="Normal"/>
    <w:link w:val="FooterChar"/>
    <w:uiPriority w:val="99"/>
    <w:unhideWhenUsed/>
    <w:rsid w:val="006D61D3"/>
    <w:pPr>
      <w:tabs>
        <w:tab w:val="center" w:pos="4680"/>
        <w:tab w:val="right" w:pos="9360"/>
      </w:tabs>
      <w:spacing w:line="240" w:lineRule="auto"/>
    </w:pPr>
  </w:style>
  <w:style w:type="character" w:customStyle="1" w:styleId="FooterChar">
    <w:name w:val="Footer Char"/>
    <w:basedOn w:val="DefaultParagraphFont"/>
    <w:link w:val="Footer"/>
    <w:uiPriority w:val="99"/>
    <w:rsid w:val="006D6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webSettings" Target="webSettings.xml"/><Relationship Id="rId7" Type="http://schemas.openxmlformats.org/officeDocument/2006/relationships/hyperlink" Target="mailto:katie.zilgme@mass.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pu.efiling@mass.gov"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Silas Bauer</cp:lastModifiedBy>
  <cp:revision>3</cp:revision>
  <dcterms:created xsi:type="dcterms:W3CDTF">2021-04-13T20:35:00Z</dcterms:created>
  <dcterms:modified xsi:type="dcterms:W3CDTF">2021-04-13T20:47:00Z</dcterms:modified>
</cp:coreProperties>
</file>